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197553" w:rsidRPr="00197553" w:rsidRDefault="00197553" w:rsidP="0019755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97553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197553" w:rsidRPr="00197553" w:rsidRDefault="00197553" w:rsidP="0019755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1252"/>
        <w:gridCol w:w="193"/>
        <w:gridCol w:w="1928"/>
        <w:gridCol w:w="193"/>
      </w:tblGrid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197553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197553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197553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488015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Азот жидкий, охлажденный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28043000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Азот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197553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197553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сжиженных газов, углеводородов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197553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197553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31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197553">
              <w:rPr>
                <w:rFonts w:ascii="Arial CYR" w:hAnsi="Arial CYR" w:cs="Arial CYR"/>
                <w:sz w:val="20"/>
                <w:szCs w:val="20"/>
              </w:rPr>
              <w:cr/>
            </w:r>
            <w:r w:rsidRPr="00197553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197553" w:rsidRPr="00197553" w:rsidRDefault="00197553" w:rsidP="0019755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197553" w:rsidRPr="00197553" w:rsidRDefault="00197553" w:rsidP="0019755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97553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197553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197553" w:rsidRPr="00197553" w:rsidRDefault="00197553" w:rsidP="0019755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460237,00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7670,62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460237,00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7670,62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97553" w:rsidRPr="00197553" w:rsidRDefault="00197553" w:rsidP="0019755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460237,00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92047,40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552284,40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9204,74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7670,62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460237,00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92047,40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552284,40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9204,74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7670,62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97553" w:rsidRPr="00197553" w:rsidRDefault="00197553" w:rsidP="0019755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19755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97553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19755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97553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19755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97553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19755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97553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lastRenderedPageBreak/>
              <w:t>Расчетный вес 60,00 т. (Мин. весовая норма 22,00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23-Перевозка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931,80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[702,30 * 0,03 = 21,07]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[931,80 * 0,01 = 9,32]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21.07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952,87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1657,99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7409,08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7557,26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7670,62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460237,04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460237,00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460237,00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92047,40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552284,40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460237,00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92047,40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552284,40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7670,62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97553" w:rsidRPr="001975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9204,74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97553" w:rsidRPr="00197553" w:rsidRDefault="00197553" w:rsidP="0019755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9755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9854A6" w:rsidRDefault="00392A35" w:rsidP="009854A6"/>
    <w:sectPr w:rsidR="00392A35" w:rsidRPr="009854A6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97553"/>
    <w:rsid w:val="002762CB"/>
    <w:rsid w:val="00392A35"/>
    <w:rsid w:val="00667154"/>
    <w:rsid w:val="00814E7B"/>
    <w:rsid w:val="008452F5"/>
    <w:rsid w:val="009854A6"/>
    <w:rsid w:val="00BA4CFA"/>
    <w:rsid w:val="00C27289"/>
    <w:rsid w:val="00CB4AC1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2020-10-27T12:08:00Z</dcterms:created>
  <dcterms:modified xsi:type="dcterms:W3CDTF">2020-10-27T12:08:00Z</dcterms:modified>
</cp:coreProperties>
</file>